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惠公易土市直[2021]046号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惠州市惠城区江北南区</w:t>
      </w:r>
      <w:r>
        <w:rPr>
          <w:rFonts w:hint="eastAsia" w:ascii="仿宋_GB2312" w:hAnsi="仿宋_GB2312" w:eastAsia="仿宋_GB2312" w:cs="仿宋_GB2312"/>
          <w:sz w:val="32"/>
          <w:szCs w:val="32"/>
        </w:rPr>
        <w:t>JB14-2-3-1</w:t>
      </w:r>
      <w:r>
        <w:rPr>
          <w:rFonts w:hint="eastAsia" w:ascii="仿宋_GB2312" w:hAnsi="仿宋_GB2312" w:eastAsia="仿宋_GB2312" w:cs="仿宋_GB2312"/>
          <w:sz w:val="32"/>
          <w:szCs w:val="32"/>
          <w:lang w:eastAsia="zh-CN"/>
        </w:rPr>
        <w:t>（地下空间）</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编号：JB14-2-3-1;</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w:t>
      </w:r>
      <w:r>
        <w:rPr>
          <w:rFonts w:hint="default" w:ascii="仿宋_GB2312" w:hAnsi="仿宋_GB2312" w:eastAsia="仿宋_GB2312" w:cs="仿宋_GB2312"/>
          <w:sz w:val="32"/>
          <w:szCs w:val="32"/>
        </w:rPr>
        <w:t>平面界址点以《建设用地红线图》为准，宗地竖向界限以《建设用地规划设计条件（案卷编号：PB202100</w:t>
      </w:r>
      <w:r>
        <w:rPr>
          <w:rFonts w:hint="eastAsia" w:ascii="仿宋_GB2312" w:hAnsi="仿宋_GB2312" w:eastAsia="仿宋_GB2312" w:cs="仿宋_GB2312"/>
          <w:sz w:val="32"/>
          <w:szCs w:val="32"/>
          <w:lang w:val="en-US" w:eastAsia="zh-CN"/>
        </w:rPr>
        <w:t>39</w:t>
      </w:r>
      <w:r>
        <w:rPr>
          <w:rFonts w:hint="default" w:ascii="仿宋_GB2312" w:hAnsi="仿宋_GB2312" w:eastAsia="仿宋_GB2312" w:cs="仿宋_GB2312"/>
          <w:sz w:val="32"/>
          <w:szCs w:val="32"/>
        </w:rPr>
        <w:t>）》规定为准</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地下室</w:t>
      </w:r>
      <w:r>
        <w:rPr>
          <w:rFonts w:hint="eastAsia" w:ascii="仿宋_GB2312" w:hAnsi="仿宋_GB2312" w:eastAsia="仿宋_GB2312" w:cs="仿宋_GB2312"/>
          <w:sz w:val="32"/>
          <w:szCs w:val="32"/>
        </w:rPr>
        <w:t>宗地使用权面积为：</w:t>
      </w:r>
      <w:r>
        <w:rPr>
          <w:rFonts w:hint="eastAsia" w:ascii="仿宋_GB2312" w:hAnsi="仿宋_GB2312" w:eastAsia="仿宋_GB2312" w:cs="仿宋_GB2312"/>
          <w:sz w:val="32"/>
          <w:szCs w:val="32"/>
          <w:lang w:val="en-US" w:eastAsia="zh-CN"/>
        </w:rPr>
        <w:t>5390.59</w:t>
      </w:r>
      <w:r>
        <w:rPr>
          <w:rFonts w:hint="eastAsia" w:ascii="仿宋_GB2312" w:hAnsi="仿宋_GB2312" w:eastAsia="仿宋_GB2312" w:cs="仿宋_GB2312"/>
          <w:sz w:val="32"/>
          <w:szCs w:val="32"/>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7005</w:t>
      </w:r>
      <w:r>
        <w:rPr>
          <w:rFonts w:hint="eastAsia" w:ascii="仿宋_GB2312" w:hAnsi="仿宋_GB2312" w:eastAsia="仿宋_GB2312" w:cs="仿宋_GB2312"/>
          <w:sz w:val="32"/>
          <w:szCs w:val="32"/>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（七）计容积率建筑面积为：≤1</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交通服务场站用地</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（十）适建性：</w:t>
      </w:r>
      <w:r>
        <w:rPr>
          <w:rFonts w:hint="eastAsia" w:ascii="仿宋_GB2312" w:hAnsi="仿宋_GB2312" w:eastAsia="仿宋_GB2312" w:cs="仿宋_GB2312"/>
          <w:sz w:val="32"/>
          <w:szCs w:val="32"/>
          <w:lang w:val="en-US" w:eastAsia="zh-CN"/>
        </w:rPr>
        <w:t>小学运动场、停车库及配建设施</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地下自走式公共停车位≥270个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动工及竣工时间：该地块的动工时间为地块交付之日起</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color w:val="auto"/>
          <w:sz w:val="32"/>
          <w:szCs w:val="32"/>
          <w:lang w:val="en-US" w:eastAsia="zh-CN"/>
        </w:rPr>
        <w:t>3850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default" w:ascii="Times New Roman" w:hAnsi="Times New Roman" w:eastAsia="仿宋_GB2312" w:cs="Times New Roman"/>
          <w:kern w:val="2"/>
          <w:sz w:val="32"/>
          <w:szCs w:val="32"/>
          <w:highlight w:val="none"/>
        </w:rPr>
        <w:t>竞得人在用地红线内开发建设必须符合城市规划要求，必须按《</w:t>
      </w:r>
      <w:r>
        <w:rPr>
          <w:rFonts w:hint="default" w:ascii="Times New Roman" w:hAnsi="Times New Roman" w:eastAsia="仿宋_GB2312" w:cs="Times New Roman"/>
          <w:kern w:val="2"/>
          <w:sz w:val="32"/>
          <w:szCs w:val="32"/>
        </w:rPr>
        <w:t>建设用地规划设计条件</w:t>
      </w:r>
      <w:r>
        <w:rPr>
          <w:rFonts w:hint="default" w:ascii="Times New Roman" w:hAnsi="Times New Roman" w:eastAsia="仿宋_GB2312" w:cs="Times New Roman"/>
          <w:kern w:val="2"/>
          <w:sz w:val="32"/>
          <w:szCs w:val="32"/>
          <w:highlight w:val="none"/>
        </w:rPr>
        <w:t>》（案卷编号：PB202100</w:t>
      </w:r>
      <w:r>
        <w:rPr>
          <w:rFonts w:hint="eastAsia"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rPr>
        <w:t>9</w:t>
      </w:r>
      <w:r>
        <w:rPr>
          <w:rFonts w:hint="default" w:ascii="Times New Roman" w:hAnsi="Times New Roman" w:eastAsia="仿宋_GB2312" w:cs="Times New Roman"/>
          <w:kern w:val="2"/>
          <w:sz w:val="32"/>
          <w:szCs w:val="32"/>
          <w:highlight w:val="none"/>
        </w:rPr>
        <w:t>）规划控制指标要求及有关规定进行规划设计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default" w:ascii="Times New Roman" w:hAnsi="Times New Roman" w:eastAsia="仿宋_GB2312" w:cs="Times New Roman"/>
          <w:kern w:val="2"/>
          <w:sz w:val="32"/>
          <w:szCs w:val="32"/>
        </w:rPr>
        <w:t>该地属政府储备地，没有法律经济纠纷，具备动工开发所必须的基本条件</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。申请人还应具备下列条件：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345万元，如以外币缴交竞买保证金的，须缴交美元54万元、港币417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7.存在其它被禁止竞买土地行为的</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壹仟壹佰伍拾万元整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1150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（一）网上挂牌起始时间：2021年11月23日9时。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（二）网上挂牌截止时间：2021年12月7日10时。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（三）网上挂牌交纳保证金截止时间：2021年12月7日9时。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（二）本宗地竞买保证金到账截止时间为2021年12月7日9时整，竞买保证金为人民币</w:t>
      </w:r>
      <w:r>
        <w:rPr>
          <w:rFonts w:hint="eastAsia" w:ascii="仿宋_GB2312" w:hAnsi="仿宋_GB2312" w:eastAsia="仿宋_GB2312" w:cs="仿宋_GB2312"/>
          <w:kern w:val="2"/>
          <w:sz w:val="32"/>
          <w:szCs w:val="32"/>
          <w:u w:val="single"/>
          <w:lang w:val="en-US" w:eastAsia="zh-CN" w:bidi="ar-SA"/>
        </w:rPr>
        <w:t>叁佰肆拾伍万元整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kern w:val="2"/>
          <w:sz w:val="32"/>
          <w:szCs w:val="32"/>
          <w:u w:val="single"/>
          <w:lang w:val="en-US" w:eastAsia="zh-CN" w:bidi="ar-SA"/>
        </w:rPr>
        <w:t>345</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伍拾肆万元整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54</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肆佰壹拾柒万元整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417</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10、中信银行股份有限公司惠州分行。(备注:中信银行股份有限公司惠州分行本行转账须到银行柜面办理)。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有意竞买者可登陆惠州市公共资源交易中心土地与矿业网上挂牌交易系统网站(https://www.hzgtjy.com/)查询。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w:t>
      </w:r>
      <w:r>
        <w:rPr>
          <w:rFonts w:hint="eastAsia" w:ascii="仿宋_GB2312" w:hAnsi="仿宋_GB2312" w:eastAsia="仿宋_GB2312" w:cs="仿宋_GB2312"/>
          <w:kern w:val="2"/>
          <w:sz w:val="32"/>
          <w:szCs w:val="32"/>
          <w:lang w:val="en-US" w:eastAsia="zh-CN" w:bidi="ar-SA"/>
        </w:rPr>
        <w:t>补充条款</w:t>
      </w:r>
      <w:r>
        <w:rPr>
          <w:rFonts w:hint="default" w:ascii="仿宋_GB2312" w:hAnsi="仿宋_GB2312" w:eastAsia="仿宋_GB2312" w:cs="仿宋_GB2312"/>
          <w:kern w:val="2"/>
          <w:sz w:val="32"/>
          <w:szCs w:val="32"/>
          <w:lang w:val="en-US" w:eastAsia="zh-CN" w:bidi="ar-SA"/>
        </w:rPr>
        <w:t>；也可按约定直接与新公司签订《出让合同》。</w:t>
      </w:r>
    </w:p>
    <w:p>
      <w:pPr>
        <w:spacing w:line="560" w:lineRule="exact"/>
        <w:ind w:firstLine="627" w:firstLineChars="196"/>
        <w:jc w:val="both"/>
        <w:rPr>
          <w:rFonts w:hint="eastAsia" w:ascii="Times New Roman" w:hAnsi="Times New Roman" w:eastAsia="仿宋_GB2312" w:cs="Times New Roman"/>
          <w:kern w:val="2"/>
          <w:sz w:val="32"/>
          <w:szCs w:val="32"/>
          <w:highlight w:val="none"/>
          <w:lang w:val="en-US" w:eastAsia="zh-CN" w:bidi="ar"/>
        </w:rPr>
      </w:pP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联合申请竞买的，联合竞买人在提交竞买申请材料时，须提交一份联合竞买申请书和协议，协议主要规定联合各</w:t>
      </w:r>
      <w:r>
        <w:rPr>
          <w:rFonts w:hint="default" w:ascii="Times New Roman" w:hAnsi="Times New Roman" w:eastAsia="仿宋_GB2312" w:cs="Times New Roman"/>
          <w:kern w:val="2"/>
          <w:sz w:val="32"/>
          <w:szCs w:val="32"/>
          <w:highlight w:val="none"/>
          <w:lang w:val="en-US" w:eastAsia="zh-CN" w:bidi="ar"/>
        </w:rPr>
        <w:t>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w:t>
      </w:r>
      <w:r>
        <w:rPr>
          <w:rFonts w:hint="eastAsia" w:ascii="Times New Roman" w:hAnsi="Times New Roman" w:eastAsia="仿宋_GB2312" w:cs="Times New Roman"/>
          <w:kern w:val="2"/>
          <w:sz w:val="32"/>
          <w:szCs w:val="32"/>
          <w:highlight w:val="none"/>
          <w:lang w:val="en-US" w:eastAsia="zh-CN" w:bidi="ar"/>
        </w:rPr>
        <w:t>补充条款</w:t>
      </w:r>
      <w:r>
        <w:rPr>
          <w:rFonts w:hint="default" w:ascii="Times New Roman" w:hAnsi="Times New Roman" w:eastAsia="仿宋_GB2312" w:cs="Times New Roman"/>
          <w:kern w:val="2"/>
          <w:sz w:val="32"/>
          <w:szCs w:val="32"/>
          <w:highlight w:val="none"/>
          <w:lang w:val="en-US" w:eastAsia="zh-CN" w:bidi="ar"/>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2021年11月1</w:t>
      </w:r>
      <w:bookmarkStart w:id="0" w:name="_GoBack"/>
      <w:bookmarkEnd w:id="0"/>
      <w:r>
        <w:rPr>
          <w:rFonts w:hint="eastAsia" w:ascii="仿宋_GB2312" w:hAnsi="仿宋_GB2312" w:eastAsia="仿宋_GB2312" w:cs="仿宋_GB2312"/>
          <w:kern w:val="2"/>
          <w:sz w:val="32"/>
          <w:szCs w:val="32"/>
          <w:lang w:val="en-US" w:eastAsia="zh-CN" w:bidi="ar-SA"/>
        </w:rPr>
        <w:t>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398491D"/>
    <w:rsid w:val="03B8279E"/>
    <w:rsid w:val="04C579EB"/>
    <w:rsid w:val="07175A66"/>
    <w:rsid w:val="07DE34CF"/>
    <w:rsid w:val="08E86ED8"/>
    <w:rsid w:val="0C29337A"/>
    <w:rsid w:val="15937805"/>
    <w:rsid w:val="1F973EF0"/>
    <w:rsid w:val="31EC2995"/>
    <w:rsid w:val="33B40EC2"/>
    <w:rsid w:val="377D59C2"/>
    <w:rsid w:val="3E910382"/>
    <w:rsid w:val="40040C85"/>
    <w:rsid w:val="45622B90"/>
    <w:rsid w:val="45B02BB7"/>
    <w:rsid w:val="478005E7"/>
    <w:rsid w:val="49DD3017"/>
    <w:rsid w:val="4FDF4DC1"/>
    <w:rsid w:val="51724468"/>
    <w:rsid w:val="68801B1A"/>
    <w:rsid w:val="69FE57C5"/>
    <w:rsid w:val="6CC001F7"/>
    <w:rsid w:val="73A8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叶舒</cp:lastModifiedBy>
  <cp:lastPrinted>2021-10-27T00:57:00Z</cp:lastPrinted>
  <dcterms:modified xsi:type="dcterms:W3CDTF">2021-11-02T01:17:41Z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